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B1" w:rsidRDefault="00161EB1" w:rsidP="00161EB1">
      <w:pPr>
        <w:tabs>
          <w:tab w:val="center" w:pos="8222"/>
        </w:tabs>
        <w:jc w:val="center"/>
      </w:pPr>
      <w:bookmarkStart w:id="0" w:name="_GoBack"/>
      <w:r>
        <w:rPr>
          <w:u w:val="single"/>
        </w:rPr>
        <w:t>STANAG 4438</w:t>
      </w:r>
    </w:p>
    <w:bookmarkEnd w:id="0"/>
    <w:p w:rsidR="00161EB1" w:rsidRDefault="00161EB1" w:rsidP="00161EB1">
      <w:pPr>
        <w:tabs>
          <w:tab w:val="center" w:pos="8222"/>
        </w:tabs>
        <w:jc w:val="center"/>
      </w:pPr>
      <w:r>
        <w:t>Edición 2ª</w:t>
      </w:r>
    </w:p>
    <w:p w:rsidR="00161EB1" w:rsidRDefault="00161EB1" w:rsidP="00161EB1">
      <w:pPr>
        <w:tabs>
          <w:tab w:val="center" w:pos="8222"/>
        </w:tabs>
        <w:jc w:val="center"/>
        <w:rPr>
          <w:u w:val="single"/>
        </w:rPr>
      </w:pPr>
      <w:r>
        <w:rPr>
          <w:u w:val="single"/>
        </w:rPr>
        <w:t>ARMADA/TIERRA/AIRE</w:t>
      </w:r>
    </w:p>
    <w:p w:rsidR="00161EB1" w:rsidRDefault="00161EB1" w:rsidP="00161EB1"/>
    <w:p w:rsidR="00161EB1" w:rsidRDefault="00161EB1" w:rsidP="00161EB1">
      <w:pPr>
        <w:jc w:val="center"/>
        <w:rPr>
          <w:u w:val="single"/>
        </w:rPr>
      </w:pPr>
      <w:r>
        <w:rPr>
          <w:u w:val="single"/>
        </w:rPr>
        <w:t>ACUERDO OTAN DE NORMALIZACIÓN</w:t>
      </w:r>
    </w:p>
    <w:p w:rsidR="00161EB1" w:rsidRDefault="00161EB1" w:rsidP="00161EB1">
      <w:pPr>
        <w:jc w:val="center"/>
        <w:rPr>
          <w:u w:val="single"/>
        </w:rPr>
      </w:pPr>
      <w:r>
        <w:rPr>
          <w:u w:val="single"/>
        </w:rPr>
        <w:t>(STANAG)</w:t>
      </w:r>
    </w:p>
    <w:p w:rsidR="00161EB1" w:rsidRDefault="00161EB1" w:rsidP="00161EB1">
      <w:pPr>
        <w:jc w:val="center"/>
      </w:pPr>
    </w:p>
    <w:p w:rsidR="00161EB1" w:rsidRDefault="00161EB1" w:rsidP="00161EB1">
      <w:pPr>
        <w:jc w:val="center"/>
        <w:rPr>
          <w:u w:val="single"/>
        </w:rPr>
      </w:pPr>
      <w:r>
        <w:rPr>
          <w:u w:val="single"/>
        </w:rPr>
        <w:t xml:space="preserve">CATALOGACIÓN </w:t>
      </w:r>
    </w:p>
    <w:p w:rsidR="00161EB1" w:rsidRDefault="00161EB1" w:rsidP="00161EB1">
      <w:pPr>
        <w:jc w:val="center"/>
        <w:rPr>
          <w:u w:val="single"/>
        </w:rPr>
      </w:pPr>
      <w:r>
        <w:rPr>
          <w:u w:val="single"/>
        </w:rPr>
        <w:t>SISTEMA UNIFORME DE DIFUSIÓN DE DATOS ASOCIADOS A</w:t>
      </w:r>
    </w:p>
    <w:p w:rsidR="00161EB1" w:rsidRDefault="00161EB1" w:rsidP="00161EB1">
      <w:pPr>
        <w:jc w:val="center"/>
        <w:rPr>
          <w:u w:val="single"/>
        </w:rPr>
      </w:pPr>
      <w:r>
        <w:rPr>
          <w:u w:val="single"/>
        </w:rPr>
        <w:t>LOS NÚMEROS OTAN DE CATALOGO NOC (NSN)</w:t>
      </w:r>
    </w:p>
    <w:p w:rsidR="00161EB1" w:rsidRDefault="00161EB1" w:rsidP="00161EB1"/>
    <w:p w:rsidR="00161EB1" w:rsidRDefault="00161EB1" w:rsidP="00161EB1">
      <w:r>
        <w:t>Documentos relacionados:</w:t>
      </w:r>
    </w:p>
    <w:p w:rsidR="00161EB1" w:rsidRDefault="00161EB1" w:rsidP="00161EB1">
      <w:pPr>
        <w:pStyle w:val="Piedepgina"/>
        <w:widowControl/>
      </w:pPr>
    </w:p>
    <w:p w:rsidR="00161EB1" w:rsidRDefault="00161EB1" w:rsidP="00161EB1">
      <w:pPr>
        <w:pStyle w:val="Listaconvietas"/>
        <w:ind w:left="369"/>
      </w:pPr>
      <w:r>
        <w:t>STANAG 3151:</w:t>
      </w:r>
      <w:r>
        <w:tab/>
        <w:t>Catalogación. Sistema Uniforme de Identificación de Artículos.</w:t>
      </w:r>
    </w:p>
    <w:p w:rsidR="00161EB1" w:rsidRDefault="00161EB1" w:rsidP="00161EB1">
      <w:pPr>
        <w:pStyle w:val="Listaconvietas"/>
        <w:numPr>
          <w:ilvl w:val="0"/>
          <w:numId w:val="0"/>
        </w:numPr>
      </w:pPr>
    </w:p>
    <w:p w:rsidR="00161EB1" w:rsidRDefault="00161EB1" w:rsidP="00161EB1">
      <w:pPr>
        <w:pStyle w:val="Listaconvietas"/>
        <w:ind w:left="369"/>
      </w:pPr>
      <w:r>
        <w:t>STANAG 4199:</w:t>
      </w:r>
      <w:r>
        <w:tab/>
        <w:t>Catalogación. Sistema Uniforme de Intercambio de Datos de Gestión</w:t>
      </w:r>
      <w:r>
        <w:t xml:space="preserve"> </w:t>
      </w:r>
      <w:r>
        <w:t>de Material.</w:t>
      </w:r>
    </w:p>
    <w:p w:rsidR="00161EB1" w:rsidRDefault="00161EB1" w:rsidP="00161EB1">
      <w:pPr>
        <w:pStyle w:val="Listaconvietas"/>
        <w:numPr>
          <w:ilvl w:val="0"/>
          <w:numId w:val="0"/>
        </w:numPr>
      </w:pPr>
    </w:p>
    <w:p w:rsidR="00161EB1" w:rsidRDefault="00161EB1" w:rsidP="00161EB1">
      <w:pPr>
        <w:pStyle w:val="Listaconvietas"/>
        <w:ind w:left="369"/>
      </w:pPr>
      <w:r>
        <w:t>ACodP-1:</w:t>
      </w:r>
      <w:r>
        <w:tab/>
        <w:t>Manual OTAN de Catalogación.</w:t>
      </w:r>
    </w:p>
    <w:p w:rsidR="00161EB1" w:rsidRDefault="00161EB1" w:rsidP="00161EB1"/>
    <w:p w:rsidR="00161EB1" w:rsidRDefault="00161EB1" w:rsidP="00161EB1"/>
    <w:p w:rsidR="00161EB1" w:rsidRDefault="00161EB1" w:rsidP="00161EB1">
      <w:pPr>
        <w:rPr>
          <w:b/>
          <w:bCs/>
          <w:u w:val="single"/>
        </w:rPr>
      </w:pPr>
      <w:r>
        <w:rPr>
          <w:b/>
          <w:bCs/>
          <w:u w:val="single"/>
        </w:rPr>
        <w:t>OBJETO</w:t>
      </w:r>
    </w:p>
    <w:p w:rsidR="00161EB1" w:rsidRDefault="00161EB1" w:rsidP="00161EB1"/>
    <w:p w:rsidR="00161EB1" w:rsidRDefault="00161EB1" w:rsidP="00161EB1">
      <w:pPr>
        <w:numPr>
          <w:ilvl w:val="0"/>
          <w:numId w:val="1"/>
        </w:numPr>
      </w:pPr>
      <w:r>
        <w:t xml:space="preserve">Este Acuerdo tiene por objeto proporcionar un sistema uniforme de difusión de los datos asociados a los Números OTAN de Catálogo -NOC- (NATO Stock </w:t>
      </w:r>
      <w:proofErr w:type="spellStart"/>
      <w:r>
        <w:t>Numbers</w:t>
      </w:r>
      <w:proofErr w:type="spellEnd"/>
      <w:r>
        <w:t xml:space="preserve"> - NSN), para su utilización en las Fuerzas Armadas de los países de la OTAN.</w:t>
      </w:r>
    </w:p>
    <w:p w:rsidR="00161EB1" w:rsidRDefault="00161EB1" w:rsidP="00161EB1"/>
    <w:p w:rsidR="00161EB1" w:rsidRDefault="00161EB1" w:rsidP="00161EB1"/>
    <w:p w:rsidR="00161EB1" w:rsidRDefault="00161EB1" w:rsidP="00161EB1">
      <w:pPr>
        <w:rPr>
          <w:b/>
          <w:bCs/>
          <w:u w:val="single"/>
        </w:rPr>
      </w:pPr>
      <w:r>
        <w:rPr>
          <w:b/>
          <w:bCs/>
          <w:u w:val="single"/>
        </w:rPr>
        <w:t>ACUERDO</w:t>
      </w:r>
    </w:p>
    <w:p w:rsidR="00161EB1" w:rsidRDefault="00161EB1" w:rsidP="00161EB1"/>
    <w:p w:rsidR="00161EB1" w:rsidRDefault="00161EB1" w:rsidP="00161EB1">
      <w:pPr>
        <w:numPr>
          <w:ilvl w:val="0"/>
          <w:numId w:val="1"/>
        </w:numPr>
      </w:pPr>
      <w:r>
        <w:t>Los países participantes acuerdan lo siguiente:</w:t>
      </w:r>
    </w:p>
    <w:p w:rsidR="00161EB1" w:rsidRDefault="00161EB1" w:rsidP="00161EB1"/>
    <w:p w:rsidR="00161EB1" w:rsidRDefault="00161EB1" w:rsidP="00161EB1">
      <w:pPr>
        <w:numPr>
          <w:ilvl w:val="0"/>
          <w:numId w:val="2"/>
        </w:numPr>
        <w:tabs>
          <w:tab w:val="num" w:pos="908"/>
        </w:tabs>
        <w:ind w:left="908"/>
      </w:pPr>
      <w:r>
        <w:t>Cualquier país OTAN puede difundir a otros países OTAN o a NAMSA sus datos de catalogación y de gestión asociados a los NOC de los Artículos de Abastecimiento catalogados por ese país, conforme a lo estipulado en el Manual OTAN de Catalogación, ACodP-1, Subsecciones 112.2 y 132.1.</w:t>
      </w:r>
    </w:p>
    <w:p w:rsidR="00161EB1" w:rsidRDefault="00161EB1" w:rsidP="00161EB1">
      <w:pPr>
        <w:ind w:left="454"/>
      </w:pPr>
    </w:p>
    <w:p w:rsidR="00161EB1" w:rsidRDefault="00161EB1" w:rsidP="00161EB1">
      <w:pPr>
        <w:numPr>
          <w:ilvl w:val="0"/>
          <w:numId w:val="2"/>
        </w:numPr>
        <w:tabs>
          <w:tab w:val="num" w:pos="908"/>
        </w:tabs>
        <w:ind w:left="908"/>
      </w:pPr>
      <w:r>
        <w:t>Cualquier país OTAN puede difundir según su criterio, a otros países OTAN o a NAMSA, sus propios datos clasificados o restringidos, así como sus datos de carácter administrativo o de procedimiento asociados a los NOC de los Artículos de Abastecimiento catalogados por ese u otros países.</w:t>
      </w:r>
    </w:p>
    <w:p w:rsidR="00161EB1" w:rsidRDefault="00161EB1" w:rsidP="00161EB1">
      <w:pPr>
        <w:ind w:left="454"/>
      </w:pPr>
    </w:p>
    <w:p w:rsidR="00161EB1" w:rsidRDefault="00161EB1" w:rsidP="00161EB1">
      <w:pPr>
        <w:numPr>
          <w:ilvl w:val="0"/>
          <w:numId w:val="2"/>
        </w:numPr>
        <w:tabs>
          <w:tab w:val="num" w:pos="908"/>
        </w:tabs>
        <w:ind w:left="908"/>
      </w:pPr>
      <w:r>
        <w:t>Cualquier país OTAN puede difundir, según su criterio, a países no OTAN sus propios datos clasificados o restringidos, sus datos de catalogación OTAN o de gestión, y sus datos de carácter administrativo o de procedimiento asociados a los NOC de los Artículos de Abastecimiento catalogados por ese u otros países.</w:t>
      </w:r>
    </w:p>
    <w:p w:rsidR="00161EB1" w:rsidRDefault="00161EB1" w:rsidP="00161EB1">
      <w:pPr>
        <w:ind w:left="454"/>
      </w:pPr>
    </w:p>
    <w:p w:rsidR="00161EB1" w:rsidRDefault="00161EB1" w:rsidP="00161EB1">
      <w:pPr>
        <w:numPr>
          <w:ilvl w:val="0"/>
          <w:numId w:val="2"/>
        </w:numPr>
        <w:tabs>
          <w:tab w:val="num" w:pos="908"/>
        </w:tabs>
        <w:ind w:left="908"/>
      </w:pPr>
      <w:r>
        <w:t>Cualquier país puede difundir los NOC, nombre del artículo y referencias de otro país.</w:t>
      </w:r>
    </w:p>
    <w:p w:rsidR="00161EB1" w:rsidRDefault="00161EB1" w:rsidP="00161EB1"/>
    <w:p w:rsidR="00161EB1" w:rsidRDefault="00161EB1" w:rsidP="00161EB1">
      <w:pPr>
        <w:ind w:left="908"/>
      </w:pPr>
      <w:r>
        <w:t>Pero no podrá facilitar:</w:t>
      </w:r>
    </w:p>
    <w:p w:rsidR="00161EB1" w:rsidRDefault="00161EB1" w:rsidP="00161EB1"/>
    <w:p w:rsidR="00161EB1" w:rsidRDefault="00161EB1" w:rsidP="00161EB1">
      <w:pPr>
        <w:numPr>
          <w:ilvl w:val="0"/>
          <w:numId w:val="3"/>
        </w:numPr>
        <w:tabs>
          <w:tab w:val="num" w:pos="1268"/>
        </w:tabs>
        <w:ind w:left="1268"/>
      </w:pPr>
      <w:r>
        <w:t>Ningún otro dato de catalogación OTAN o de gestión asociados a NOC de Artículos de Abastecimiento catalogados por otro país.</w:t>
      </w:r>
    </w:p>
    <w:p w:rsidR="00161EB1" w:rsidRDefault="00161EB1" w:rsidP="00161EB1">
      <w:pPr>
        <w:ind w:left="908"/>
      </w:pPr>
    </w:p>
    <w:p w:rsidR="00161EB1" w:rsidRDefault="00161EB1" w:rsidP="00161EB1">
      <w:pPr>
        <w:numPr>
          <w:ilvl w:val="0"/>
          <w:numId w:val="3"/>
        </w:numPr>
        <w:tabs>
          <w:tab w:val="num" w:pos="1268"/>
        </w:tabs>
        <w:ind w:left="1268"/>
      </w:pPr>
      <w:r>
        <w:t>Los datos de carácter administrativo o de procedimiento de otro país asociados a cualquier NOC de Artículos de Abastecimiento catalogados por ese u otro país.</w:t>
      </w:r>
    </w:p>
    <w:p w:rsidR="00161EB1" w:rsidRDefault="00161EB1" w:rsidP="00161EB1">
      <w:pPr>
        <w:ind w:left="908"/>
      </w:pPr>
    </w:p>
    <w:p w:rsidR="00161EB1" w:rsidRDefault="00161EB1" w:rsidP="00161EB1">
      <w:pPr>
        <w:numPr>
          <w:ilvl w:val="0"/>
          <w:numId w:val="3"/>
        </w:numPr>
        <w:tabs>
          <w:tab w:val="num" w:pos="1268"/>
        </w:tabs>
        <w:ind w:left="1268"/>
      </w:pPr>
      <w:r>
        <w:t>Los datos clasificados o restringidos de otro país.</w:t>
      </w:r>
    </w:p>
    <w:p w:rsidR="00161EB1" w:rsidRDefault="00161EB1" w:rsidP="00161EB1">
      <w:pPr>
        <w:pStyle w:val="Piedepgina"/>
        <w:widowControl/>
      </w:pPr>
    </w:p>
    <w:p w:rsidR="00161EB1" w:rsidRDefault="00161EB1" w:rsidP="00161EB1">
      <w:pPr>
        <w:ind w:left="454"/>
      </w:pPr>
      <w:r>
        <w:lastRenderedPageBreak/>
        <w:t>Cualquier país puede facilitar los datos, a los que tenga acceso de conformidad con este Acuerdo, a sus organismos militares y civiles que los necesiten con fines logísticos, así como a los contratistas que, estando sujetos a Acuerdos de Seguridad y de No Difusión de Información, necesiten acceder a tales datos en el desarrollo de sus obligaciones contractuales en apoyo a los organismos anteriores.</w:t>
      </w:r>
    </w:p>
    <w:p w:rsidR="00161EB1" w:rsidRDefault="00161EB1" w:rsidP="00161EB1">
      <w:pPr>
        <w:ind w:left="454"/>
      </w:pPr>
      <w:r>
        <w:t>NAMSA no puede facilitar tales datos excepto de acuerdo con el Memorándum de Entendimiento y Colaboración que regula los servicios de NAMSA en apoyo del Sistema OTAN de Catalogación.</w:t>
      </w:r>
    </w:p>
    <w:p w:rsidR="00161EB1" w:rsidRDefault="00161EB1" w:rsidP="00161EB1">
      <w:pPr>
        <w:ind w:left="454"/>
      </w:pPr>
    </w:p>
    <w:p w:rsidR="00161EB1" w:rsidRDefault="00161EB1" w:rsidP="00161EB1">
      <w:pPr>
        <w:ind w:left="454"/>
      </w:pPr>
      <w:r>
        <w:t>Cualquier país puede acordar que otro país o NAMSA difunda sus propios datos con las restricciones que considere oportunas.</w:t>
      </w:r>
    </w:p>
    <w:p w:rsidR="00161EB1" w:rsidRDefault="00161EB1" w:rsidP="00161EB1">
      <w:pPr>
        <w:ind w:left="369"/>
      </w:pPr>
    </w:p>
    <w:p w:rsidR="00161EB1" w:rsidRDefault="00161EB1" w:rsidP="00161EB1">
      <w:pPr>
        <w:numPr>
          <w:ilvl w:val="0"/>
          <w:numId w:val="2"/>
        </w:numPr>
        <w:tabs>
          <w:tab w:val="num" w:pos="908"/>
        </w:tabs>
        <w:ind w:left="908"/>
      </w:pPr>
      <w:r>
        <w:t>Se reconoce al Grupo OTAN de Directores Nacionales de Catalogación (AC/135) como el órgano responsable de la normativa relativa al desarrollo, mantenimiento e interpretación de la uniformidad en la distribución de datos.</w:t>
      </w:r>
    </w:p>
    <w:p w:rsidR="00161EB1" w:rsidRDefault="00161EB1" w:rsidP="00161EB1">
      <w:pPr>
        <w:ind w:left="454"/>
      </w:pPr>
    </w:p>
    <w:p w:rsidR="00161EB1" w:rsidRDefault="00161EB1" w:rsidP="00161EB1">
      <w:pPr>
        <w:numPr>
          <w:ilvl w:val="0"/>
          <w:numId w:val="2"/>
        </w:numPr>
        <w:tabs>
          <w:tab w:val="num" w:pos="908"/>
        </w:tabs>
        <w:ind w:left="908"/>
      </w:pPr>
      <w:r>
        <w:t>Se pueden establecer acuerdos entre países con el fin de complementar las disposiciones de este Acuerdo así como las del Manual OTAN de Catalogación, pero deben citar dicho Manual y no incluir disposiciones contradictorias.</w:t>
      </w:r>
    </w:p>
    <w:p w:rsidR="00161EB1" w:rsidRDefault="00161EB1" w:rsidP="00161EB1">
      <w:pPr>
        <w:ind w:left="454"/>
      </w:pPr>
    </w:p>
    <w:p w:rsidR="00161EB1" w:rsidRDefault="00161EB1" w:rsidP="00161EB1">
      <w:pPr>
        <w:numPr>
          <w:ilvl w:val="0"/>
          <w:numId w:val="2"/>
        </w:numPr>
        <w:tabs>
          <w:tab w:val="num" w:pos="908"/>
        </w:tabs>
        <w:ind w:left="908"/>
      </w:pPr>
      <w:r>
        <w:t>El considerable grado de interdependencia del Sistema de Catalogación, incluyendo la difusión de datos entre países, requiere una constante coordinación de intereses.</w:t>
      </w:r>
    </w:p>
    <w:p w:rsidR="00161EB1" w:rsidRDefault="00161EB1" w:rsidP="00161EB1">
      <w:pPr>
        <w:ind w:left="454"/>
      </w:pPr>
    </w:p>
    <w:p w:rsidR="00161EB1" w:rsidRDefault="00161EB1" w:rsidP="00161EB1">
      <w:pPr>
        <w:ind w:left="908"/>
      </w:pPr>
      <w:r>
        <w:t>Cualquier desarrollo o cambio importante previsto que pudiera afectar a la difusión de datos según se interpreta en este Acuerdo debe comunicarse al resto de los países signatarios para que sus efectos e implicaciones puedan ser evaluados.</w:t>
      </w:r>
    </w:p>
    <w:p w:rsidR="00161EB1" w:rsidRDefault="00161EB1" w:rsidP="00161EB1">
      <w:pPr>
        <w:ind w:left="454"/>
      </w:pPr>
    </w:p>
    <w:p w:rsidR="00161EB1" w:rsidRDefault="00161EB1" w:rsidP="00161EB1">
      <w:pPr>
        <w:numPr>
          <w:ilvl w:val="0"/>
          <w:numId w:val="2"/>
        </w:numPr>
        <w:tabs>
          <w:tab w:val="num" w:pos="908"/>
        </w:tabs>
        <w:ind w:left="908"/>
      </w:pPr>
      <w:r>
        <w:t>El Sistema OTAN de Difusión de Datos es aplicable a todas aquellas Organizaciones de la OTAN que estén en posesión de datos asociados a los NOC.</w:t>
      </w:r>
    </w:p>
    <w:p w:rsidR="00161EB1" w:rsidRDefault="00161EB1" w:rsidP="00161EB1">
      <w:pPr>
        <w:ind w:left="454"/>
      </w:pPr>
    </w:p>
    <w:p w:rsidR="00161EB1" w:rsidRDefault="00161EB1" w:rsidP="00161EB1">
      <w:pPr>
        <w:numPr>
          <w:ilvl w:val="0"/>
          <w:numId w:val="2"/>
        </w:numPr>
        <w:tabs>
          <w:tab w:val="num" w:pos="908"/>
        </w:tabs>
        <w:ind w:left="908"/>
      </w:pPr>
      <w:r>
        <w:t>Las reglas de decisión sobre los cambios están contenidas en el Manual OTAN de Catalogación, ACodP-1, mantenido por el Grupo OTAN de Directores Nacionales de Catalogación.</w:t>
      </w:r>
    </w:p>
    <w:p w:rsidR="00161EB1" w:rsidRDefault="00161EB1" w:rsidP="00161EB1">
      <w:pPr>
        <w:ind w:left="454"/>
      </w:pPr>
    </w:p>
    <w:p w:rsidR="00161EB1" w:rsidRDefault="00161EB1" w:rsidP="00161EB1">
      <w:pPr>
        <w:numPr>
          <w:ilvl w:val="0"/>
          <w:numId w:val="2"/>
        </w:numPr>
        <w:tabs>
          <w:tab w:val="num" w:pos="908"/>
        </w:tabs>
        <w:ind w:left="908"/>
      </w:pPr>
      <w:r>
        <w:t>El método y el ritmo de aplicación de este Acuerdo, dentro de cada país de la OTAN, quedará a discreción nacional.</w:t>
      </w:r>
    </w:p>
    <w:p w:rsidR="00161EB1" w:rsidRDefault="00161EB1" w:rsidP="00161EB1">
      <w:pPr>
        <w:ind w:left="454"/>
      </w:pPr>
    </w:p>
    <w:p w:rsidR="00161EB1" w:rsidRDefault="00161EB1" w:rsidP="00161EB1">
      <w:pPr>
        <w:numPr>
          <w:ilvl w:val="0"/>
          <w:numId w:val="2"/>
        </w:numPr>
        <w:tabs>
          <w:tab w:val="num" w:pos="908"/>
        </w:tabs>
        <w:ind w:left="908"/>
      </w:pPr>
      <w:r>
        <w:t>Ningún país firmante puede concluir este Acuerdo sin un aviso oficial con tres meses de antelación a los otros signatarios.</w:t>
      </w:r>
    </w:p>
    <w:p w:rsidR="00161EB1" w:rsidRDefault="00161EB1" w:rsidP="00161EB1"/>
    <w:p w:rsidR="00161EB1" w:rsidRDefault="00161EB1" w:rsidP="00161EB1">
      <w:pPr>
        <w:rPr>
          <w:u w:val="single"/>
        </w:rPr>
      </w:pPr>
      <w:r>
        <w:rPr>
          <w:b/>
          <w:bCs/>
          <w:u w:val="single"/>
        </w:rPr>
        <w:t>APLICACIÓN DEL ACUERDO</w:t>
      </w:r>
    </w:p>
    <w:p w:rsidR="00161EB1" w:rsidRDefault="00161EB1" w:rsidP="00161EB1"/>
    <w:p w:rsidR="00E3290E" w:rsidRDefault="00161EB1" w:rsidP="00161EB1">
      <w:pPr>
        <w:numPr>
          <w:ilvl w:val="0"/>
          <w:numId w:val="1"/>
        </w:numPr>
      </w:pPr>
      <w:r>
        <w:t>Este Acuerdo se considerará implantado cuando las disposiciones estipuladas en el mismo hayan sido promulgadas en la legislación/normativa nacional correspondiente.</w:t>
      </w:r>
    </w:p>
    <w:sectPr w:rsidR="00E32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44C6E"/>
    <w:multiLevelType w:val="hybridMultilevel"/>
    <w:tmpl w:val="7DB05434"/>
    <w:lvl w:ilvl="0" w:tplc="DA2A395E">
      <w:numFmt w:val="bullet"/>
      <w:pStyle w:val="Listaconvietas"/>
      <w:lvlText w:val=""/>
      <w:lvlJc w:val="left"/>
      <w:pPr>
        <w:tabs>
          <w:tab w:val="num" w:pos="1730"/>
        </w:tabs>
        <w:ind w:left="1730" w:hanging="369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" w15:restartNumberingAfterBreak="0">
    <w:nsid w:val="6AC600D7"/>
    <w:multiLevelType w:val="singleLevel"/>
    <w:tmpl w:val="76A4EE5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effect w:val="none"/>
        <w:vertAlign w:val="baseline"/>
      </w:rPr>
    </w:lvl>
  </w:abstractNum>
  <w:abstractNum w:abstractNumId="2" w15:restartNumberingAfterBreak="0">
    <w:nsid w:val="6B4A4294"/>
    <w:multiLevelType w:val="singleLevel"/>
    <w:tmpl w:val="8DA6B20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effect w:val="none"/>
        <w:vertAlign w:val="baseline"/>
      </w:rPr>
    </w:lvl>
  </w:abstractNum>
  <w:abstractNum w:abstractNumId="3" w15:restartNumberingAfterBreak="0">
    <w:nsid w:val="79F73F1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B1"/>
    <w:rsid w:val="00161EB1"/>
    <w:rsid w:val="001A730E"/>
    <w:rsid w:val="00F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43175-92AC-4799-9D98-918EED78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EB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61EB1"/>
    <w:pPr>
      <w:widowControl w:val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rsid w:val="00161EB1"/>
    <w:rPr>
      <w:rFonts w:ascii="Arial" w:eastAsia="Times New Roman" w:hAnsi="Arial" w:cs="Times New Roman"/>
      <w:sz w:val="16"/>
      <w:szCs w:val="20"/>
      <w:lang w:val="es-ES" w:eastAsia="es-ES"/>
    </w:rPr>
  </w:style>
  <w:style w:type="paragraph" w:styleId="Listaconvietas">
    <w:name w:val="List Bullet"/>
    <w:basedOn w:val="Normal"/>
    <w:autoRedefine/>
    <w:rsid w:val="00161EB1"/>
    <w:pPr>
      <w:numPr>
        <w:numId w:val="4"/>
      </w:numPr>
      <w:tabs>
        <w:tab w:val="left" w:pos="70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3705</Characters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2019-10-11T11:25:00Z</dcterms:created>
  <dcterms:modified xsi:type="dcterms:W3CDTF">2019-10-11T11:26:00Z</dcterms:modified>
</cp:coreProperties>
</file>